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58 vom 3. September 2014</w:t>
      </w:r>
    </w:p>
    <w:p>
      <w:r>
        <w:t>GR Gerichte, 2014-09-03, DE</w:t>
      </w:r>
    </w:p>
    <w:p>
      <w:r>
        <w:rPr>
          <w:b/>
        </w:rPr>
        <w:t xml:space="preserve">Quelle: </w:t>
      </w:r>
      <w:r>
        <w:t>https://mcp.opencaselaw.ch/entscheid/gr_gerichte_S 2014 58</w:t>
      </w:r>
    </w:p>
    <w:p>
      <w:r>
        <w:t>FR: GR_GERICHTE S 2014 58 du 3 septembre 2014</w:t>
      </w:r>
    </w:p>
    <w:p>
      <w:r>
        <w:t>IT: GR_GERICHTE S 2014 58 del 3 settembre 2014</w:t>
      </w:r>
    </w:p>
    <w:p>
      <w:pPr>
        <w:pStyle w:val="Heading2"/>
      </w:pPr>
      <w:r>
        <w:t>Regeste</w:t>
      </w:r>
    </w:p>
    <w:p>
      <w:r>
        <w:t>Versicherungsleistungen nach UVG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Am 11. April 2012 meldete sich A._____ bei der IV-Stelle des Kantons Graubünden (nachfolgend: IV-Stelle) zum Bezug von Versicherungsleis- tungen an. Mit Verfügung vom 9. Oktober 2012 sprach die IV-Stelle A._____ bei einem Invaliditätsgrad von 100 % ab dem 1. September 2011 eine ganze Invalidenrente zu und legte diese mit Verfügung vom 27. No- vember 2012 auf Fr. 1'732.-- fest. Am 25. November 2012 erreichte A._____ das ordentliche Rentenalter. Seit dem 1. Dezember 2012 bezieht sie eine AHV-Rente in der Höhe der zugesprochenen IV-Rente.</w:t>
      </w:r>
    </w:p>
    <w:p>
      <w:r>
        <w:rPr>
          <w:b/>
        </w:rPr>
        <w:t>E. 3</w:t>
      </w:r>
    </w:p>
    <w:p>
      <w:r>
        <w:t>Mit Schreiben vom 17. April 2013 beauftragte die B._____ die H._____ AG, mit der medizinischen Begutachtung von A._____. Im Gutachten vom 17. Juli 2013 kamen Dr. med. E._____, Facharzt für Orthopädie und Traumatologie, Dr. med. F._____, Facharzt für Innere Medizin FMH, so- wie die konsularisch beigezogene Dr. med. G._____, Fachärztin für Neu- rologie, aufgrund einer eingehenden Untersuchung von A._____ und der zugestellten sowie beigebrachten Unterlagen zum Schluss, A._____ leide infolge des Unfalles vom 30. September 2011 an einem posttraumati- schen cervicospondylogenen Syndrom bei Status nach operativ versorg- ter Luxationsfraktur C6/7 mit bleibender Einschränkung der statischen Be- lastbarkeit der Halswirbelsäule, der Halswirbelsäulen-Beweglichkeit sowie sensibler Schädigung im distalen Teil vom Segment C5 rechts, Status</w:t>
      </w:r>
    </w:p>
    <w:p>
      <w:r>
        <w:t>- 3 - nach osteosynthetisch versorgter und ehemals intraarticulärer, distaler Radiusfraktur rechts ohne gravierende funktionsrelevante Folgen, jedoch mit glaubhaften Beschwerden insbesondere bei langfristiger und intensi- ver Beanspruchung, Status nach Commotio cerebri, Heiserkeit unklarer Ätiologie sowie Verdacht auf ein Carpaltunnelsyndrom rechts, evtl. im Zu- sammenhang mit der erlittenen Radiusfraktur. Eine namhafte Besserung dieses Gesundheitszustands sei nicht mehr zu erwarten. Zur Minderung der Beschwerden seien jedoch befund- und symptomorientierte medika- mentöse und z.B. physiotherapeutische Behandlungsmassnahmen der Halswirbelsäule sinnvoll. In ihrer angestammten Tätigkeit als Verwal- tungssekretärin sei A._____ aufgrund der durch den Unfall vom 30. Sep- tember 2011 erlittenen Verletzungen zu 100 % arbeitsunfähig. Dagegen seien ihr leichte, die Halswirbelsäule biomechanisch nicht beanspruchen- de und konzentrativ nicht anspruchsvolle Tätigkeiten zu 50 % (4.5 Stun- den) zumutbar.</w:t>
      </w:r>
    </w:p>
    <w:p>
      <w:r>
        <w:rPr>
          <w:b/>
        </w:rPr>
        <w:t>E. 4</w:t>
      </w:r>
    </w:p>
    <w:p>
      <w:r>
        <w:t>Die D._____ AG, die mit der B._____ einen Zusammenarbeitsvertrag geschlossen hat, eröffnete anfangs Januar 2014 das unfallversicherungs- rechtliche Verfahren für die langfristigen Versicherungsleistungen. Mit Verfügung vom 14. Mai 2014 sprach sie A._____ in der Folge ausgehend von einem versicherten Verdienst von Fr. 51'790.-- und einem Invali- ditätsgrad von 64 % ab dem 1. Januar 2014 eine Rente in der Höhe von Fr. 967.-- sowie eine Integritätsentschädigung im Betrag von Fr. 31'500.-- zu.</w:t>
      </w:r>
    </w:p>
    <w:p>
      <w:r>
        <w:rPr>
          <w:b/>
        </w:rPr>
        <w:t>E. 5</w:t>
      </w:r>
    </w:p>
    <w:p>
      <w:r>
        <w:t>Mit Verfügung vom 22. Januar 2014 stellte die B._____ die kurzfristigen Leistungen (Heilungskosten und Taggelder) per 31. Dezember 2013 ein. Dagegen reichte A._____ Einsprache bei der B._____ ein und beantragte die Übernahme der Kosten für die zur Behandlung der Unfallfolgen wei-</w:t>
      </w:r>
    </w:p>
    <w:p>
      <w:r>
        <w:t>- 4 - terhin erforderlichen Heilbehandlungen. Dieses Begehren wies die B._____ mit Einspracheentscheid vom 11. April 2014 ab.</w:t>
      </w:r>
    </w:p>
    <w:p>
      <w:r>
        <w:rPr>
          <w:b/>
        </w:rPr>
        <w:t>E. 6</w:t>
      </w:r>
    </w:p>
    <w:p>
      <w:r>
        <w:t>Gegen diesen Einspracheentscheid gelangte A._____ (nachfolgend: Be- schwerdeführerin) mit Beschwerde vom 7. Mai 2014 an das Verwaltungs- gericht des Kantons Graubünden. Darin beantragte sie, es seien die Ver- fügung der B._____ vom 22. Januar 2014 und der Einspracheentscheid vom 11. April 2014 aufzuheben. Es sei die B._____ zu verpflichten, für al- le nach dem 1. Januar 2014 anfallenden unfallbedingten medizinischen Massnahmen, welche der Erhaltung des Gesundheitszustands der Be- schwerdeführerin dienten, aufzukommen.</w:t>
      </w:r>
    </w:p>
    <w:p>
      <w:r>
        <w:rPr>
          <w:b/>
        </w:rPr>
        <w:t>E. 7</w:t>
      </w:r>
    </w:p>
    <w:p>
      <w:r>
        <w:t>In der Beschwerdeantwort vom 30. Mai 2014 beantragte die B._____ (nachfolgend: Beschwerdegegnerin) die Abweisung der Beschwerde.</w:t>
      </w:r>
    </w:p>
    <w:p>
      <w:r>
        <w:rPr>
          <w:b/>
        </w:rPr>
        <w:t>E. 8</w:t>
      </w:r>
    </w:p>
    <w:p>
      <w:r>
        <w:t>Das Verfahren vor dem kantonalen Versicherungsgericht ist unter Vorbe- halt vorliegend ausser Betracht fallender Ausnahmen kostenlos (Art. 61</w:t>
      </w:r>
    </w:p>
    <w:p>
      <w:r>
        <w:t>- 20 - lit. a ATSG). Die Beschwerdegegnerin kann als zuständige Unfallversi- cherungsgesellschaft keine aussergerichtliche Parteientschädigung bean- spruchen (Art. 61 lit. g e contrario ATSG).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